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C7B2C" w:rsidRDefault="00606EA4">
      <w:pPr>
        <w:jc w:val="center"/>
        <w:rPr>
          <w:rFonts w:ascii="Garamond" w:eastAsia="Garamond" w:hAnsi="Garamond" w:cs="Garamond"/>
          <w:b/>
          <w:color w:val="1F497D"/>
          <w:sz w:val="48"/>
          <w:szCs w:val="48"/>
        </w:rPr>
      </w:pPr>
      <w:r>
        <w:rPr>
          <w:rFonts w:ascii="Garamond" w:eastAsia="Garamond" w:hAnsi="Garamond" w:cs="Garamond"/>
          <w:b/>
          <w:color w:val="1F497D"/>
          <w:sz w:val="48"/>
          <w:szCs w:val="48"/>
        </w:rPr>
        <w:t>2026 National Legal Research Teach-In Kit</w:t>
      </w:r>
    </w:p>
    <w:p w14:paraId="00000002" w14:textId="77777777" w:rsidR="003C7B2C" w:rsidRDefault="00606EA4">
      <w:pPr>
        <w:spacing w:after="0"/>
        <w:jc w:val="center"/>
        <w:rPr>
          <w:rFonts w:ascii="Garamond" w:eastAsia="Garamond" w:hAnsi="Garamond" w:cs="Garamond"/>
          <w:b/>
          <w:color w:val="1F497D"/>
          <w:sz w:val="28"/>
          <w:szCs w:val="28"/>
        </w:rPr>
      </w:pPr>
      <w:r>
        <w:rPr>
          <w:rFonts w:ascii="Garamond" w:eastAsia="Garamond" w:hAnsi="Garamond" w:cs="Garamond"/>
          <w:b/>
          <w:color w:val="1F497D"/>
          <w:sz w:val="28"/>
          <w:szCs w:val="28"/>
        </w:rPr>
        <w:t>Research Instruction &amp; Patron Services Special Interest Section</w:t>
      </w:r>
    </w:p>
    <w:p w14:paraId="00000003" w14:textId="77777777" w:rsidR="003C7B2C" w:rsidRDefault="00606EA4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  <w:r>
        <w:rPr>
          <w:rFonts w:ascii="Garamond" w:eastAsia="Garamond" w:hAnsi="Garamond" w:cs="Garamond"/>
          <w:b/>
          <w:color w:val="1F497D"/>
        </w:rPr>
        <w:t>American Association of Law Libraries</w:t>
      </w:r>
    </w:p>
    <w:p w14:paraId="00000004" w14:textId="77777777" w:rsidR="003C7B2C" w:rsidRDefault="003C7B2C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</w:p>
    <w:p w14:paraId="00000005" w14:textId="77777777" w:rsidR="003C7B2C" w:rsidRDefault="003C7B2C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</w:p>
    <w:p w14:paraId="00000006" w14:textId="77777777" w:rsidR="003C7B2C" w:rsidRDefault="003C7B2C">
      <w:pPr>
        <w:spacing w:after="0"/>
        <w:jc w:val="center"/>
        <w:rPr>
          <w:rFonts w:ascii="Garamond" w:eastAsia="Garamond" w:hAnsi="Garamond" w:cs="Garamond"/>
          <w:b/>
          <w:color w:val="1F497D"/>
        </w:rPr>
      </w:pPr>
    </w:p>
    <w:p w14:paraId="0B0DF520" w14:textId="77777777" w:rsidR="00AC58C3" w:rsidRDefault="00AC58C3">
      <w:pPr>
        <w:jc w:val="center"/>
        <w:rPr>
          <w:rFonts w:ascii="Garamond" w:eastAsia="Garamond" w:hAnsi="Garamond" w:cs="Garamond"/>
          <w:sz w:val="44"/>
          <w:szCs w:val="44"/>
        </w:rPr>
      </w:pPr>
      <w:r>
        <w:rPr>
          <w:rFonts w:ascii="Garamond" w:eastAsia="Garamond" w:hAnsi="Garamond" w:cs="Garamond"/>
          <w:sz w:val="44"/>
          <w:szCs w:val="44"/>
        </w:rPr>
        <w:t xml:space="preserve">Headnote Searching: “What a Riot” &amp; </w:t>
      </w:r>
    </w:p>
    <w:p w14:paraId="00000007" w14:textId="3F4D143B" w:rsidR="003C7B2C" w:rsidRDefault="00AC58C3">
      <w:pPr>
        <w:jc w:val="center"/>
        <w:rPr>
          <w:rFonts w:ascii="Garamond" w:eastAsia="Garamond" w:hAnsi="Garamond" w:cs="Garamond"/>
          <w:sz w:val="44"/>
          <w:szCs w:val="44"/>
        </w:rPr>
      </w:pPr>
      <w:r>
        <w:rPr>
          <w:rFonts w:ascii="Garamond" w:eastAsia="Garamond" w:hAnsi="Garamond" w:cs="Garamond"/>
          <w:sz w:val="44"/>
          <w:szCs w:val="44"/>
        </w:rPr>
        <w:t>“Cat Scratch Fever”</w:t>
      </w:r>
    </w:p>
    <w:p w14:paraId="00000008" w14:textId="77777777" w:rsidR="003C7B2C" w:rsidRDefault="00606EA4">
      <w:pPr>
        <w:jc w:val="center"/>
        <w:rPr>
          <w:rFonts w:ascii="Garamond" w:eastAsia="Garamond" w:hAnsi="Garamond" w:cs="Garamond"/>
          <w:sz w:val="44"/>
          <w:szCs w:val="44"/>
        </w:rPr>
      </w:pPr>
      <w:r>
        <w:rPr>
          <w:rFonts w:ascii="Garamond" w:eastAsia="Garamond" w:hAnsi="Garamond" w:cs="Garamond"/>
          <w:sz w:val="44"/>
          <w:szCs w:val="44"/>
        </w:rPr>
        <w:t xml:space="preserve">  </w:t>
      </w:r>
    </w:p>
    <w:p w14:paraId="00000009" w14:textId="77777777" w:rsidR="003C7B2C" w:rsidRDefault="003C7B2C">
      <w:pPr>
        <w:spacing w:before="240" w:after="240"/>
        <w:jc w:val="center"/>
        <w:rPr>
          <w:rFonts w:ascii="Arial" w:eastAsia="Arial" w:hAnsi="Arial" w:cs="Arial"/>
          <w:b/>
          <w:color w:val="054B88"/>
          <w:sz w:val="21"/>
          <w:szCs w:val="21"/>
        </w:rPr>
      </w:pPr>
    </w:p>
    <w:p w14:paraId="0000000A" w14:textId="77777777" w:rsidR="003C7B2C" w:rsidRDefault="003C7B2C">
      <w:pPr>
        <w:spacing w:before="240" w:after="240"/>
        <w:rPr>
          <w:rFonts w:ascii="Arial" w:eastAsia="Arial" w:hAnsi="Arial" w:cs="Arial"/>
          <w:b/>
          <w:color w:val="054B88"/>
          <w:sz w:val="21"/>
          <w:szCs w:val="21"/>
        </w:rPr>
      </w:pPr>
    </w:p>
    <w:p w14:paraId="0000000B" w14:textId="647FDD78" w:rsidR="003C7B2C" w:rsidRDefault="00AC58C3">
      <w:pPr>
        <w:spacing w:after="0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John Cannan</w:t>
      </w:r>
    </w:p>
    <w:p w14:paraId="0000000D" w14:textId="04352029" w:rsidR="003C7B2C" w:rsidRDefault="000E4917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 w:rsidRPr="000E4917">
        <w:rPr>
          <w:rFonts w:ascii="Garamond" w:eastAsia="Garamond" w:hAnsi="Garamond" w:cs="Garamond"/>
          <w:sz w:val="28"/>
          <w:szCs w:val="28"/>
        </w:rPr>
        <w:t>Faculty Scholarship Librarian &amp; Legal Research Instructor</w:t>
      </w:r>
    </w:p>
    <w:p w14:paraId="2ED07454" w14:textId="77777777" w:rsidR="000E4917" w:rsidRDefault="000E4917" w:rsidP="000E4917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  <w:lang w:val="en-US"/>
        </w:rPr>
      </w:pPr>
      <w:r w:rsidRPr="000E4917">
        <w:rPr>
          <w:rFonts w:ascii="Garamond" w:eastAsia="Garamond" w:hAnsi="Garamond" w:cs="Garamond"/>
          <w:sz w:val="28"/>
          <w:szCs w:val="28"/>
          <w:lang w:val="en-US"/>
        </w:rPr>
        <w:t>Villanova University Charles Widger School of Law</w:t>
      </w:r>
    </w:p>
    <w:p w14:paraId="0127EFBC" w14:textId="2AA5FB04" w:rsidR="00263B81" w:rsidRPr="000E4917" w:rsidRDefault="00263B81" w:rsidP="00263B81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  <w:lang w:val="en-US"/>
        </w:rPr>
      </w:pPr>
      <w:r w:rsidRPr="00263B81">
        <w:rPr>
          <w:rFonts w:ascii="Garamond" w:eastAsia="Garamond" w:hAnsi="Garamond" w:cs="Garamond"/>
          <w:sz w:val="28"/>
          <w:szCs w:val="28"/>
          <w:lang w:val="en-US"/>
        </w:rPr>
        <w:t>299 N. Spring Mill Rd.</w:t>
      </w:r>
    </w:p>
    <w:p w14:paraId="5AB8D25A" w14:textId="77777777" w:rsidR="00263B81" w:rsidRPr="00263B81" w:rsidRDefault="00263B81" w:rsidP="00263B81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  <w:lang w:val="en-US"/>
        </w:rPr>
      </w:pPr>
      <w:r w:rsidRPr="00263B81">
        <w:rPr>
          <w:rFonts w:ascii="Garamond" w:eastAsia="Garamond" w:hAnsi="Garamond" w:cs="Garamond"/>
          <w:sz w:val="28"/>
          <w:szCs w:val="28"/>
          <w:lang w:val="en-US"/>
        </w:rPr>
        <w:t>Villanova, PA 19085</w:t>
      </w:r>
    </w:p>
    <w:p w14:paraId="00000010" w14:textId="579EE080" w:rsidR="003C7B2C" w:rsidRDefault="00263B81">
      <w:pPr>
        <w:spacing w:after="0" w:line="24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jcannan@villanova.edu</w:t>
      </w:r>
    </w:p>
    <w:p w14:paraId="00000011" w14:textId="77777777" w:rsidR="003C7B2C" w:rsidRDefault="003C7B2C">
      <w:pPr>
        <w:spacing w:after="0"/>
        <w:jc w:val="center"/>
        <w:rPr>
          <w:rFonts w:ascii="Garamond" w:eastAsia="Garamond" w:hAnsi="Garamond" w:cs="Garamond"/>
        </w:rPr>
      </w:pPr>
    </w:p>
    <w:p w14:paraId="00000012" w14:textId="77777777" w:rsidR="003C7B2C" w:rsidRDefault="003C7B2C">
      <w:pPr>
        <w:spacing w:after="0"/>
      </w:pPr>
    </w:p>
    <w:p w14:paraId="00000014" w14:textId="0B37A362" w:rsidR="003C7B2C" w:rsidRDefault="00263B81" w:rsidP="00263B81">
      <w:pPr>
        <w:spacing w:after="0"/>
        <w:rPr>
          <w:rFonts w:ascii="Garamond" w:eastAsia="Garamond" w:hAnsi="Garamond" w:cs="Garamond"/>
          <w:b/>
          <w:color w:val="1F497D"/>
        </w:rPr>
      </w:pPr>
      <w:bookmarkStart w:id="0" w:name="_heading=h.ii3xwn2k2by6" w:colFirst="0" w:colLast="0"/>
      <w:bookmarkEnd w:id="0"/>
      <w:r w:rsidRPr="00263B81">
        <w:rPr>
          <w:rFonts w:ascii="Garamond" w:eastAsia="Garamond" w:hAnsi="Garamond" w:cs="Garamond"/>
        </w:rPr>
        <w:t xml:space="preserve">This exercise teaches the value of using headnotes to find cases, either by browsing the key number outline directly or by locating a relevant case and using it to enter the outline. Because </w:t>
      </w:r>
      <w:r>
        <w:rPr>
          <w:rFonts w:ascii="Garamond" w:eastAsia="Garamond" w:hAnsi="Garamond" w:cs="Garamond"/>
        </w:rPr>
        <w:t>both</w:t>
      </w:r>
      <w:r w:rsidRPr="00263B81">
        <w:rPr>
          <w:rFonts w:ascii="Garamond" w:eastAsia="Garamond" w:hAnsi="Garamond" w:cs="Garamond"/>
        </w:rPr>
        <w:t xml:space="preserve"> topic</w:t>
      </w:r>
      <w:r>
        <w:rPr>
          <w:rFonts w:ascii="Garamond" w:eastAsia="Garamond" w:hAnsi="Garamond" w:cs="Garamond"/>
        </w:rPr>
        <w:t>s</w:t>
      </w:r>
      <w:r w:rsidRPr="00263B81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>involve</w:t>
      </w:r>
      <w:r w:rsidRPr="00263B81">
        <w:rPr>
          <w:rFonts w:ascii="Garamond" w:eastAsia="Garamond" w:hAnsi="Garamond" w:cs="Garamond"/>
        </w:rPr>
        <w:t xml:space="preserve"> a manageable number of </w:t>
      </w:r>
      <w:r>
        <w:rPr>
          <w:rFonts w:ascii="Garamond" w:eastAsia="Garamond" w:hAnsi="Garamond" w:cs="Garamond"/>
        </w:rPr>
        <w:t xml:space="preserve">total </w:t>
      </w:r>
      <w:r w:rsidRPr="00263B81">
        <w:rPr>
          <w:rFonts w:ascii="Garamond" w:eastAsia="Garamond" w:hAnsi="Garamond" w:cs="Garamond"/>
        </w:rPr>
        <w:t>results, students can meaningfully compare this approach to other research methods, such as terms-and-connectors and AI searching</w:t>
      </w:r>
      <w:r>
        <w:rPr>
          <w:rFonts w:ascii="Garamond" w:eastAsia="Garamond" w:hAnsi="Garamond" w:cs="Garamond"/>
        </w:rPr>
        <w:t>.</w:t>
      </w:r>
    </w:p>
    <w:p w14:paraId="00000015" w14:textId="77777777" w:rsidR="003C7B2C" w:rsidRDefault="003C7B2C">
      <w:pPr>
        <w:jc w:val="center"/>
        <w:rPr>
          <w:rFonts w:ascii="Garamond" w:eastAsia="Garamond" w:hAnsi="Garamond" w:cs="Garamond"/>
          <w:b/>
          <w:sz w:val="36"/>
          <w:szCs w:val="36"/>
        </w:rPr>
      </w:pPr>
    </w:p>
    <w:p w14:paraId="00000016" w14:textId="77777777" w:rsidR="003C7B2C" w:rsidRDefault="003C7B2C">
      <w:pPr>
        <w:jc w:val="center"/>
        <w:rPr>
          <w:rFonts w:ascii="Garamond" w:eastAsia="Garamond" w:hAnsi="Garamond" w:cs="Garamond"/>
          <w:b/>
          <w:sz w:val="36"/>
          <w:szCs w:val="36"/>
        </w:rPr>
      </w:pPr>
    </w:p>
    <w:p w14:paraId="00000017" w14:textId="77777777" w:rsidR="003C7B2C" w:rsidRDefault="00606EA4">
      <w:pPr>
        <w:rPr>
          <w:rFonts w:ascii="Garamond" w:eastAsia="Garamond" w:hAnsi="Garamond" w:cs="Garamond"/>
        </w:rPr>
      </w:pPr>
      <w:bookmarkStart w:id="1" w:name="_heading=h.1v7qs1r4uma0" w:colFirst="0" w:colLast="0"/>
      <w:bookmarkEnd w:id="1"/>
      <w:r>
        <w:rPr>
          <w:rFonts w:ascii="Garamond" w:eastAsia="Garamond" w:hAnsi="Garamond" w:cs="Garamond"/>
        </w:rPr>
        <w:t xml:space="preserve"> </w:t>
      </w:r>
    </w:p>
    <w:p w14:paraId="00000018" w14:textId="77777777" w:rsidR="003C7B2C" w:rsidRDefault="003C7B2C">
      <w:pPr>
        <w:rPr>
          <w:rFonts w:ascii="Garamond" w:eastAsia="Garamond" w:hAnsi="Garamond" w:cs="Garamond"/>
        </w:rPr>
      </w:pPr>
    </w:p>
    <w:p w14:paraId="00000019" w14:textId="77777777" w:rsidR="003C7B2C" w:rsidRDefault="003C7B2C">
      <w:pPr>
        <w:rPr>
          <w:rFonts w:ascii="Garamond" w:eastAsia="Garamond" w:hAnsi="Garamond" w:cs="Garamond"/>
        </w:rPr>
      </w:pPr>
    </w:p>
    <w:p w14:paraId="0000001A" w14:textId="77777777" w:rsidR="003C7B2C" w:rsidRDefault="003C7B2C">
      <w:pPr>
        <w:rPr>
          <w:rFonts w:ascii="Garamond" w:eastAsia="Garamond" w:hAnsi="Garamond" w:cs="Garamond"/>
        </w:rPr>
      </w:pPr>
    </w:p>
    <w:p w14:paraId="0000001B" w14:textId="77777777" w:rsidR="003C7B2C" w:rsidRDefault="003C7B2C">
      <w:pPr>
        <w:rPr>
          <w:rFonts w:ascii="Garamond" w:eastAsia="Garamond" w:hAnsi="Garamond" w:cs="Garamond"/>
        </w:rPr>
      </w:pPr>
    </w:p>
    <w:p w14:paraId="0000001C" w14:textId="77777777" w:rsidR="003C7B2C" w:rsidRDefault="003C7B2C">
      <w:pPr>
        <w:rPr>
          <w:rFonts w:ascii="Garamond" w:eastAsia="Garamond" w:hAnsi="Garamond" w:cs="Garamond"/>
        </w:rPr>
      </w:pPr>
    </w:p>
    <w:p w14:paraId="0000001D" w14:textId="77777777" w:rsidR="003C7B2C" w:rsidRDefault="00606EA4">
      <w:pPr>
        <w:tabs>
          <w:tab w:val="left" w:pos="339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</w:r>
    </w:p>
    <w:sectPr w:rsidR="003C7B2C">
      <w:footerReference w:type="default" r:id="rId7"/>
      <w:pgSz w:w="12240" w:h="15840"/>
      <w:pgMar w:top="1008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6A483" w14:textId="77777777" w:rsidR="00606EA4" w:rsidRDefault="00606EA4">
      <w:pPr>
        <w:spacing w:after="0" w:line="240" w:lineRule="auto"/>
      </w:pPr>
      <w:r>
        <w:separator/>
      </w:r>
    </w:p>
  </w:endnote>
  <w:endnote w:type="continuationSeparator" w:id="0">
    <w:p w14:paraId="6B7A88B5" w14:textId="77777777" w:rsidR="00606EA4" w:rsidRDefault="00606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BB2F8D-5693-45B4-9130-7ADB7C875324}"/>
    <w:embedItalic r:id="rId2" w:fontKey="{2524FEE1-27CD-4A62-8976-94993B4E40D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23E8ADAC-CCE8-4F8B-A7FC-EFC3849F5DFF}"/>
    <w:embedBold r:id="rId4" w:fontKey="{DD38C90A-6BD7-4B57-82F9-2FE1BB475C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7878B7E-905F-424D-AEDE-2E0C222D1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275098-1FEC-4BAE-A32D-7F16483743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3C7B2C" w:rsidRDefault="00606EA4">
    <w:pPr>
      <w:tabs>
        <w:tab w:val="center" w:pos="4680"/>
        <w:tab w:val="right" w:pos="9360"/>
      </w:tabs>
      <w:spacing w:after="720" w:line="240" w:lineRule="auto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To view the entire kit, please visit &lt;URL for this year’s kit: TBD&gt;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68199" w14:textId="77777777" w:rsidR="00606EA4" w:rsidRDefault="00606EA4">
      <w:pPr>
        <w:spacing w:after="0" w:line="240" w:lineRule="auto"/>
      </w:pPr>
      <w:r>
        <w:separator/>
      </w:r>
    </w:p>
  </w:footnote>
  <w:footnote w:type="continuationSeparator" w:id="0">
    <w:p w14:paraId="72036023" w14:textId="77777777" w:rsidR="00606EA4" w:rsidRDefault="00606E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B2C"/>
    <w:rsid w:val="000E4917"/>
    <w:rsid w:val="00263B81"/>
    <w:rsid w:val="003C7B2C"/>
    <w:rsid w:val="005239BD"/>
    <w:rsid w:val="00606EA4"/>
    <w:rsid w:val="00AC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01C97"/>
  <w15:docId w15:val="{5802874D-209C-422F-8DE6-5023B781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W5mLORpBK0GLrcQberEFM5BGA==">CgMxLjAyDmguaWkzeHduMmsyYnk2Mg5oLjF2N3FzMXI0dW1hMDgAciExWmQ5RGktQm40X256djlPbWVlS0duWl95bkcwaXJzWXg=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662</Characters>
  <Application>Microsoft Office Word</Application>
  <DocSecurity>0</DocSecurity>
  <Lines>55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John Cannan</cp:lastModifiedBy>
  <cp:revision>2</cp:revision>
  <dcterms:created xsi:type="dcterms:W3CDTF">2026-02-24T18:38:00Z</dcterms:created>
  <dcterms:modified xsi:type="dcterms:W3CDTF">2026-02-24T18:38:00Z</dcterms:modified>
</cp:coreProperties>
</file>